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43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Séquence : </w:t>
            </w:r>
            <w:r>
              <w:rPr>
                <w:rFonts w:ascii="Arial" w:hAnsi="Arial" w:cs="Arial"/>
                <w:b/>
                <w:bCs/>
                <w:color w:val="000000"/>
              </w:rPr>
              <w:t>Le dictionnaire des nombres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Niveau : CP</w:t>
            </w:r>
          </w:p>
        </w:tc>
      </w:tr>
    </w:tbl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Objectifs: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>Permettre aux enfants de s'approprier les nombres jusqu'à 10 en créant un dictionnaire des nombres.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Repérer les régularités, retrouver les propriétés des nombres.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Compétences visées: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>Connaî</w:t>
      </w:r>
      <w:r>
        <w:rPr>
          <w:rFonts w:ascii="Calibri" w:hAnsi="Calibri" w:cs="Calibri"/>
          <w:sz w:val="18"/>
          <w:szCs w:val="18"/>
        </w:rPr>
        <w:t>tre (savoir écrire et nommer) les nombres entiers naturels inférieurs à 10.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Produire et reconnaître les décompositions additives des nombres inférieurs à 20 (“table d’addition”). 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Compétences transversales: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Ecouter</w:t>
      </w:r>
      <w:proofErr w:type="spellEnd"/>
      <w:r>
        <w:rPr>
          <w:rFonts w:ascii="Calibri" w:hAnsi="Calibri" w:cs="Calibri"/>
          <w:sz w:val="18"/>
          <w:szCs w:val="18"/>
        </w:rPr>
        <w:t xml:space="preserve"> pour comprendre, interroger, répéter, réa</w:t>
      </w:r>
      <w:r>
        <w:rPr>
          <w:rFonts w:ascii="Calibri" w:hAnsi="Calibri" w:cs="Calibri"/>
          <w:sz w:val="18"/>
          <w:szCs w:val="18"/>
        </w:rPr>
        <w:t>liser un travail ou une activité.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S'organiser pour mener à bien une tâche complexe. 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Manipulation à partir des boîtes des nombres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S'approprier et comprendre l'intérêt d'un nouvel outil. </w:t>
            </w:r>
          </w:p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Manipuler des collections concrètes, compter, additionner.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 boîtes de numération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étiquettes nombres en lettres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étiquettes écritures additives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étiquettes constellation et doigts de la 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Mise en place du dictionnaire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Construire son propre dictionnaire des nombres.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cahiers 1/2 A4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Matrice des nombres jusqu'à 10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ou 3 dictionnaires collectifs A4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 boîtes de numération</w:t>
            </w:r>
          </w:p>
        </w:tc>
      </w:tr>
    </w:tbl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69664A" w:rsidRDefault="0069664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69664A" w:rsidRDefault="0069664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 dictionnaire des nombres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1 sur 2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Manipulation à partir des boîtes des nombres</w:t>
            </w:r>
          </w:p>
        </w:tc>
      </w:tr>
    </w:tbl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45'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S'approprier et comprendre l'intérêt d'un nouvel outil. 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Manipuler des collections concrètes, compter, additionner. 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Connaî</w:t>
      </w:r>
      <w:r>
        <w:rPr>
          <w:rFonts w:ascii="Calibri" w:hAnsi="Calibri" w:cs="Calibri"/>
          <w:sz w:val="18"/>
          <w:szCs w:val="18"/>
        </w:rPr>
        <w:t xml:space="preserve">tre (savoir écrire et nommer) les nombres entiers naturels inférieurs à 100. 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Produire et reconnaître les décompositions additives des nombres inférieurs à 20 (“table d’addition”). 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Pré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sentation de la séquence </w:t>
            </w:r>
            <w:r>
              <w:rPr>
                <w:rFonts w:ascii="Calibri" w:hAnsi="Calibri" w:cs="Calibri"/>
                <w:sz w:val="18"/>
                <w:szCs w:val="18"/>
              </w:rPr>
              <w:t>: apprendre les nombres.</w:t>
            </w:r>
          </w:p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Passation des consignes : travail par 2 ou 3 sur les boîtes de numération (boites contenant un même nombre de différents objets), mais avec un nouvel enjeu : ranger dans les boites des étiquettes toutes mél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angées.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Groupes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Recherche par groupes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retrouver les étiquettes correspondant à sa boîte, justifier.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 boîtes de numération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étiquettes nombres en lettres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étiquettes écritures additives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 étiquettes constellation et doigts </w:t>
            </w:r>
            <w:r>
              <w:rPr>
                <w:rFonts w:ascii="Arial" w:hAnsi="Arial" w:cs="Arial"/>
                <w:color w:val="000000"/>
              </w:rPr>
              <w:lastRenderedPageBreak/>
              <w:t>de la 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Mise en commun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et validation des choix. </w:t>
            </w:r>
          </w:p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Structuration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Il existe plusieurs façons de nommer un nombre. Expliquer l'intérêt de chaque mode de désignation. Comment garder une mémoire individuelle ? Intérê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 du dictionnaire, d'une trace écrite.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Clôture de la séance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pour que chaque enfant puisse garder une trace, nous allons faire un livre des nombres que nous </w:t>
            </w:r>
            <w:r w:rsidR="0069664A">
              <w:rPr>
                <w:rFonts w:ascii="Calibri" w:hAnsi="Calibri" w:cs="Calibri"/>
                <w:sz w:val="18"/>
                <w:szCs w:val="18"/>
              </w:rPr>
              <w:t>appellerons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dictionnaire des nombres.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69664A" w:rsidRDefault="0069664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69664A" w:rsidRDefault="0069664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 dictionnaire des nombres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ance 2 sur 2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Mise en place du dictionnaire</w:t>
            </w:r>
          </w:p>
        </w:tc>
      </w:tr>
    </w:tbl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45'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Construire son propre dictionnaire des nombres.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Connaître (savoir écrire et nommer) les nombres entiers naturels inférieurs à 10.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Produire et reconnaître les dé</w:t>
      </w:r>
      <w:r>
        <w:rPr>
          <w:rFonts w:ascii="Calibri" w:hAnsi="Calibri" w:cs="Calibri"/>
          <w:sz w:val="18"/>
          <w:szCs w:val="18"/>
        </w:rPr>
        <w:t xml:space="preserve">compositions additives des nombres inférieurs à 20 (“table d’addition”). </w:t>
      </w: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Engagement dans l'activité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pour garder une mémoire individuelle et ne pas recourir trop souvent aux boî</w:t>
            </w:r>
            <w:r>
              <w:rPr>
                <w:rFonts w:ascii="Calibri" w:hAnsi="Calibri" w:cs="Calibri"/>
                <w:sz w:val="18"/>
                <w:szCs w:val="18"/>
              </w:rPr>
              <w:t>tes, on veut fabriquer un dictionnaire des nombres. Expliquer la mise en page. Distribuer les cahiers.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cahiers 1/2 A4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Travail individuel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pour les enfants à l'aise, avec recours au dictionnaire de classe si besoin, mais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à distance (pas de copie). </w:t>
            </w:r>
          </w:p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Pour les enfants plus fragiles,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atelier dirigé</w:t>
            </w:r>
            <w:r>
              <w:rPr>
                <w:rFonts w:ascii="Calibri" w:hAnsi="Calibri" w:cs="Calibri"/>
                <w:sz w:val="18"/>
                <w:szCs w:val="18"/>
              </w:rPr>
              <w:t>, avec recours aux boîtes de numération si nécessaire, mais sans le dictionnaire de classe pour éviter la copie sans entrée dans l'activité. Privilégier la coopération et la recherch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de sens. Faire repérer les régularités, et notamment le passage d'une page à l'autre en ajoutant 1.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ou 3 dictionnaires collectifs A4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 boîtes de numération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Matrice des nombres jusqu'à 10</w:t>
            </w:r>
          </w:p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 cahiers 1/2 A4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Bilan de l'activité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examen des dictionnaires. Montrer comment s'en servir.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Réinvestissement des connaissances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sur l'ardoise, dictée de nombres, constellations, doigts, et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qques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additions. Validation par le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dictionnnaire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de classe quand c'est néce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ssaire.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FA283A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ou 3 dictionnaires collectifs A4</w:t>
            </w:r>
          </w:p>
        </w:tc>
      </w:tr>
    </w:tbl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FA283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Bilan: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4A"/>
    <w:rsid w:val="0069664A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3629</Characters>
  <Application>Microsoft Macintosh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Marie Gabriel</cp:lastModifiedBy>
  <cp:revision>2</cp:revision>
  <dcterms:created xsi:type="dcterms:W3CDTF">2015-02-27T13:08:00Z</dcterms:created>
  <dcterms:modified xsi:type="dcterms:W3CDTF">2015-02-27T13:08:00Z</dcterms:modified>
</cp:coreProperties>
</file>