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4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Séquence : </w:t>
            </w:r>
            <w:r>
              <w:rPr>
                <w:rFonts w:ascii="Arial" w:hAnsi="Arial" w:cs="Arial"/>
                <w:b/>
                <w:bCs/>
                <w:color w:val="000000"/>
              </w:rPr>
              <w:t>Le concept de dizaine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Niveau : CP</w:t>
            </w: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Objectifs: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>Comprendre le concept de dizaine à travers ses diverses représentations.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Compétences visées: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Connaître (savoir écrire et nommer) les nombres entiers naturels inférieurs à 100. 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</w:t>
      </w:r>
      <w:r>
        <w:rPr>
          <w:rFonts w:ascii="Verdana" w:hAnsi="Verdana" w:cs="Verdana"/>
          <w:b/>
          <w:bCs/>
          <w:u w:val="single"/>
        </w:rPr>
        <w:t>tences transversales:</w:t>
      </w:r>
      <w:r>
        <w:rPr>
          <w:rFonts w:ascii="Verdana" w:hAnsi="Verdana" w:cs="Verdana"/>
        </w:rPr>
        <w:t xml:space="preserve"> </w:t>
      </w:r>
      <w:r w:rsidR="00DC7878">
        <w:rPr>
          <w:rFonts w:ascii="Calibri" w:hAnsi="Calibri" w:cs="Calibri"/>
          <w:sz w:val="18"/>
          <w:szCs w:val="18"/>
        </w:rPr>
        <w:t>Échanger</w:t>
      </w:r>
      <w:r>
        <w:rPr>
          <w:rFonts w:ascii="Calibri" w:hAnsi="Calibri" w:cs="Calibri"/>
          <w:sz w:val="18"/>
          <w:szCs w:val="18"/>
        </w:rPr>
        <w:t>, questionner, justifier un point de vue.</w:t>
      </w:r>
    </w:p>
    <w:p w:rsidR="00000000" w:rsidRDefault="00DC7878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Écouter</w:t>
      </w:r>
      <w:bookmarkStart w:id="0" w:name="_GoBack"/>
      <w:bookmarkEnd w:id="0"/>
      <w:r w:rsidR="00586A17">
        <w:rPr>
          <w:rFonts w:ascii="Calibri" w:hAnsi="Calibri" w:cs="Calibri"/>
          <w:sz w:val="18"/>
          <w:szCs w:val="18"/>
        </w:rPr>
        <w:t xml:space="preserve"> pour comprendre, interroger, répéter, réaliser un travail ou une activité.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Construction du concept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Construire le concept de dizaine en intégrant les différentes représentations déjà rencontrées.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Utilisation du concept</w:t>
            </w:r>
          </w:p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Reconnaitre une dizaine dans différentes situations.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 concept de dizaine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1 sur 2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Construction du concept</w:t>
            </w: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35'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Construire le concept de dizaine en intégrant les différentes représentations déjà rencontrées. 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Pouvoir construire un concept en utilisant une dé</w:t>
      </w:r>
      <w:r>
        <w:rPr>
          <w:rFonts w:ascii="Calibri" w:hAnsi="Calibri" w:cs="Calibri"/>
          <w:sz w:val="18"/>
          <w:szCs w:val="18"/>
        </w:rPr>
        <w:t xml:space="preserve">marche par exemples oui/non. 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Annonce de l'objectif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savoir ce que c'est qu'une dizaine pour pouvoir continuer l'apprentissage de la numération.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Recherche </w:t>
            </w:r>
            <w:r>
              <w:rPr>
                <w:rFonts w:ascii="Calibri" w:hAnsi="Calibri" w:cs="Calibri"/>
                <w:sz w:val="18"/>
                <w:szCs w:val="18"/>
              </w:rPr>
              <w:t>: la chasse 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la dizaine. Les enfants par deux ont le droit de se déplacer dans la classe et doivent trouver le plus de dizaines différentes possibles.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Mise en commun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afficher toutes les trouvailles aprè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validation par les pairs. Mettre les exemples non de l'autre côté. Donner les critères d'une dizaine : ensemble contenant 10 éléments. </w:t>
            </w:r>
          </w:p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Structuration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affichage montrant l'aspect cardinal (quantité de...) et la position utilisé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e. Mise en place d'une affiche.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Entrainement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montrer des exemples à l'aide d'un diaporama : noter dizaine sur l'ardoise si c'est une dizaine. Validation par les autres élèves en reprenant les critères établis.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</w:t>
            </w:r>
            <w:r>
              <w:rPr>
                <w:rFonts w:ascii="Arial" w:hAnsi="Arial" w:cs="Arial"/>
                <w:color w:val="000000"/>
              </w:rPr>
              <w:t xml:space="preserve">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Rôle du maître:</w:t>
            </w:r>
          </w:p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Proposer des exemples </w:t>
            </w:r>
          </w:p>
          <w:p w:rsidR="00000000" w:rsidRDefault="00586A17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concept de dizaine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2 sur 2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Utilisation du concept</w:t>
            </w:r>
          </w:p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40'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Reconnaitre une dizaine dans différentes situations. 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Connaître (savoir écrire et nommer) les nombres entiers naturels inférieurs à 100. </w:t>
      </w: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rappel de la séance d'hier, 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l'aide de l'affichage.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Redoner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quelques exemples et non exemples.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Recherche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à partir de la deuxième partie du diaporama, montrer comment dénombrer une collection en reconnaissant les dizaines et en utilisant le tableau de numé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ration. Les élèves peuvent noter le résultat sur leur ardoise. Validation collective et explicitation des procédures.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Structuration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Compléter l'affiche :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Pour dénombrer une collection, je peux me servir des dizaines.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Entrainement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fiche de travail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individuelle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. Aider les </w:t>
            </w:r>
            <w:r w:rsidR="00DC7878">
              <w:rPr>
                <w:rFonts w:ascii="Calibri" w:hAnsi="Calibri" w:cs="Calibri"/>
                <w:sz w:val="18"/>
                <w:szCs w:val="18"/>
              </w:rPr>
              <w:t>élèves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difficulté en atelier dirigé, avec de quoi manipuler.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86A1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586A1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Bilan: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8"/>
    <w:rsid w:val="00586A17"/>
    <w:rsid w:val="00D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 Gabriel</cp:lastModifiedBy>
  <cp:revision>2</cp:revision>
  <dcterms:created xsi:type="dcterms:W3CDTF">2015-02-22T12:35:00Z</dcterms:created>
  <dcterms:modified xsi:type="dcterms:W3CDTF">2015-02-22T12:35:00Z</dcterms:modified>
</cp:coreProperties>
</file>